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0F" w:rsidRPr="00DC040F" w:rsidRDefault="00DC040F" w:rsidP="00DC040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ФИПИ</w:t>
      </w:r>
      <w:r w:rsidRPr="00DC040F">
        <w:rPr>
          <w:rFonts w:ascii="Verdana" w:eastAsia="Times New Roman" w:hAnsi="Verdana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: </w:t>
      </w:r>
      <w:r w:rsidRPr="00DC040F"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 xml:space="preserve">Сдающим ЕГЭ-2019 по химии стоит </w:t>
      </w:r>
      <w:bookmarkStart w:id="0" w:name="_GoBack"/>
      <w:bookmarkEnd w:id="0"/>
      <w:r w:rsidRPr="00DC040F">
        <w:rPr>
          <w:rFonts w:ascii="Verdana" w:eastAsia="Times New Roman" w:hAnsi="Verdana" w:cs="Times New Roman"/>
          <w:b/>
          <w:bCs/>
          <w:color w:val="00B050"/>
          <w:sz w:val="28"/>
          <w:szCs w:val="28"/>
          <w:shd w:val="clear" w:color="auto" w:fill="FFFFFF"/>
          <w:lang w:eastAsia="ru-RU"/>
        </w:rPr>
        <w:t>потренироваться с решением практико-ориентированных задач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Число </w:t>
      </w:r>
      <w:proofErr w:type="spellStart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высокобалльников</w:t>
      </w:r>
      <w:proofErr w:type="spellEnd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среди участников ЕГЭ по химии растет. Выпускники успешно справляются с традиционными заданиями, но некоторые задачи экзаменационной работы вызывают существенные затруднения. Оптимальным вариантом подготовки к ЕГЭ по химии является системное изучение теоретического материала курса химии в сочетании с выполнением различных заданий, направленных на комплексную проверку знаний химических свойств веществ, считают специалисты Федерального института педагогических измерений (ФИПИ). 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Одним из важных результатов ЕГЭ-2018 по химии является существенное (более чем на 11 тысяч человек) увеличение числа выпускников, выбравших этот экзамен. Это может быть обусловлено повышением интереса к предметам </w:t>
      </w:r>
      <w:proofErr w:type="gramStart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естественно-научного</w:t>
      </w:r>
      <w:proofErr w:type="gramEnd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цикла вообще и химии в частности. Не менее значимым является и возрастание доли участников, получивших за экзаменационную работу высокие баллы, а также максимальный результат – 100 баллов.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Экзаменационная работа по химии 2018 года по своей структуре и содержанию была аналогична работе 2017 года, кроме включения одного нового задания с развернутым ответом. 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Результаты выполнения отдельных заданий экзаменационной работы свидетельствуют, что наиболее успешно были выполнены традиционные задания, проверяющие умения характеризовать строение атомов химических элементов, определять степени окисления атомов и принадлежность веще</w:t>
      </w:r>
      <w:proofErr w:type="gramStart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ств к кл</w:t>
      </w:r>
      <w:proofErr w:type="gramEnd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ассам и группам неорганических и органических веществ, составлять уравнения реакций ионного обмена. Некоторые из заданий успешно выполняются по причине чёткого алгоритма действий, который лежит в их основе. К ним относятся следующие элементы: скорость химических реакций, электролиз расплавов и растворов, </w:t>
      </w:r>
      <w:proofErr w:type="spellStart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окислительно</w:t>
      </w:r>
      <w:proofErr w:type="spellEnd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-восстановительные реакции.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Существенные затруднения вызывают задания, направленные на проверку знаний о способах получения и областях применения веществ (задание 26), качественных реакциях на неорганические и органические вещества </w:t>
      </w: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lastRenderedPageBreak/>
        <w:t>(задание 25), т.к. для их выполнения требуется владение практико-ориентированной составляющей содержания курса химии. Учитывая специфику данного материала, которая заключается в его распределении практически по всем темам курса химии, важным моментом при подготовке к экзамену становится его обобщение и систематизация. Для этого могут быть использованы таблицы, в которых по мере прохождения материала фиксируются необходимые сведения. 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Наиболее сложной в работе на протяжении многих лет остаётся задача 34, сочетающая в себе несколько видов расчётов по формулам и уравнениям химических реакций. Как при выполнении данного, так и других заданий, все более значимым становится умение вычленять в условии задания нужную для решения информацию, анализировать её, выстраивать последовательность действий и фиксировать этапы решения. И речь идёт не только о заданиях с развёрнутым ответом, в которых запись решения является обязательной, но и о заданиях с кратким ответом, не требующих записи хода решения. Поэтому в процессе изучения химии важно формировать не только предметные, но и </w:t>
      </w:r>
      <w:proofErr w:type="spellStart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метапредметные</w:t>
      </w:r>
      <w:proofErr w:type="spellEnd"/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умения и способы деятельности.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Оптимальным вариантом подготовки к ЕГЭ по химии является системное изучение теоретического материала курса химии, сопровождающееся отработкой навыков решения различных заданий, направленных на комплексную проверку знаний химических свойств веществ. Важным является также применение в учебном процессе заданий, выходящих за рамки моделей, используемых в экзаменационных вариантах ЕГЭ, например, включающих текстовые фрагменты с описанием химических экспериментов или большого количества данных.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Ежегодно ФИПИ проводит анализ результатов экзаменационной кампании по всем предметам и публикует методические рекомендации для учителей. Краткие обзоры этих рекомендаций, подготовленные руководителями федеральных комиссий по разработке контрольных измерительных материалов ЕГЭ, помогут будущим выпускникам и их педагогам сориентироваться в том, какие задания и темы оказались наиболее сложными для участников ЕГЭ-2018, и на что стоит обратить внимание при подготовке к экзамену. Ранее свои рекомендации выпускникам дали разработчики КИМ ЕГЭ по обществознанию, истории, биологии, русскому </w:t>
      </w: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lastRenderedPageBreak/>
        <w:t>языку, математике, иностранным языкам, информатике, литературе и физике.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right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> </w:t>
      </w:r>
    </w:p>
    <w:p w:rsidR="00DC040F" w:rsidRPr="00DC040F" w:rsidRDefault="00DC040F" w:rsidP="00DC040F">
      <w:pPr>
        <w:shd w:val="clear" w:color="auto" w:fill="FFFFFF"/>
        <w:spacing w:after="0" w:line="240" w:lineRule="auto"/>
        <w:ind w:firstLine="315"/>
        <w:jc w:val="right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DC040F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Источник: </w:t>
      </w:r>
      <w:proofErr w:type="spellStart"/>
      <w:r w:rsidRPr="00DC040F"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  <w:lang w:eastAsia="ru-RU"/>
        </w:rPr>
        <w:t>Рособрнадзор</w:t>
      </w:r>
      <w:proofErr w:type="spellEnd"/>
    </w:p>
    <w:p w:rsidR="000E4393" w:rsidRPr="00DC040F" w:rsidRDefault="000E4393">
      <w:pPr>
        <w:rPr>
          <w:color w:val="FF0000"/>
          <w:sz w:val="28"/>
          <w:szCs w:val="28"/>
        </w:rPr>
      </w:pPr>
    </w:p>
    <w:sectPr w:rsidR="000E4393" w:rsidRPr="00DC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0F"/>
    <w:rsid w:val="000E4393"/>
    <w:rsid w:val="00D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2019-02-04T15:23:00Z</dcterms:created>
  <dcterms:modified xsi:type="dcterms:W3CDTF">2019-02-04T15:28:00Z</dcterms:modified>
</cp:coreProperties>
</file>